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茅台学院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第四届</w:t>
      </w:r>
      <w:r>
        <w:rPr>
          <w:rFonts w:hint="eastAsia" w:ascii="方正小标宋简体" w:hAnsi="黑体" w:eastAsia="方正小标宋简体"/>
          <w:sz w:val="44"/>
          <w:szCs w:val="44"/>
        </w:rPr>
        <w:t>“我心目中的好老师”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推荐名额分配表</w:t>
      </w:r>
    </w:p>
    <w:tbl>
      <w:tblPr>
        <w:tblStyle w:val="5"/>
        <w:tblpPr w:leftFromText="180" w:rightFromText="180" w:vertAnchor="text" w:horzAnchor="page" w:tblpX="3139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系部名称</w:t>
            </w:r>
          </w:p>
        </w:tc>
        <w:tc>
          <w:tcPr>
            <w:tcW w:w="298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酿酒工程系</w:t>
            </w:r>
          </w:p>
        </w:tc>
        <w:tc>
          <w:tcPr>
            <w:tcW w:w="298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4+2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工商管理系</w:t>
            </w:r>
          </w:p>
        </w:tc>
        <w:tc>
          <w:tcPr>
            <w:tcW w:w="298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3+1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资源环境系</w:t>
            </w:r>
          </w:p>
        </w:tc>
        <w:tc>
          <w:tcPr>
            <w:tcW w:w="298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食品科学与工程系</w:t>
            </w:r>
          </w:p>
        </w:tc>
        <w:tc>
          <w:tcPr>
            <w:tcW w:w="298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酿酒工程自动化系</w:t>
            </w:r>
          </w:p>
        </w:tc>
        <w:tc>
          <w:tcPr>
            <w:tcW w:w="298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旅游环境系</w:t>
            </w:r>
          </w:p>
        </w:tc>
        <w:tc>
          <w:tcPr>
            <w:tcW w:w="2982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1+1</w:t>
            </w:r>
          </w:p>
        </w:tc>
      </w:tr>
    </w:tbl>
    <w:p>
      <w:pPr>
        <w:jc w:val="both"/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firstLine="640" w:firstLineChars="200"/>
        <w:jc w:val="both"/>
        <w:rPr>
          <w:rFonts w:hint="eastAsia" w:ascii="仿宋_GB2312" w:hAnsi="仿宋" w:eastAsia="仿宋_GB2312" w:cs="宋体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default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2"/>
          <w:sz w:val="28"/>
          <w:szCs w:val="28"/>
          <w:vertAlign w:val="baseline"/>
          <w:lang w:val="en-US" w:eastAsia="zh-CN" w:bidi="ar-SA"/>
        </w:rPr>
        <w:t>注：分配名额中的第一位数字名额可为本系老师也可为非本系教师，第二位数字“+”名额必须为非本系老师。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B486E"/>
    <w:rsid w:val="46F6182E"/>
    <w:rsid w:val="776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2021-06-21T02:08:00Z</dcterms:created>
  <dc:creator>Yan-kika</dc:creator>
  <cp:lastModifiedBy>Yan-kika</cp:lastModifiedBy>
  <dcterms:modified xsi:type="dcterms:W3CDTF">2021-06-21T02:19:21Z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D5F677F4DF504A979F374D28AA658BA6</vt:lpwstr>
  </property>
</Properties>
</file>